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6F" w:rsidRPr="00DE61B1" w:rsidRDefault="00DE61B1">
      <w:pPr>
        <w:rPr>
          <w:rFonts w:ascii="Arial" w:hAnsi="Arial" w:cs="Arial"/>
          <w:sz w:val="24"/>
          <w:szCs w:val="24"/>
        </w:rPr>
      </w:pPr>
      <w:r w:rsidRPr="00DE61B1">
        <w:rPr>
          <w:rFonts w:ascii="Arial" w:hAnsi="Arial" w:cs="Arial"/>
          <w:sz w:val="24"/>
          <w:szCs w:val="24"/>
        </w:rPr>
        <w:t>Muhammad Riaz ul Haq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MASc</w:t>
      </w:r>
      <w:proofErr w:type="spellEnd"/>
    </w:p>
    <w:tbl>
      <w:tblPr>
        <w:tblStyle w:val="TableGrid"/>
        <w:tblW w:w="0" w:type="auto"/>
        <w:tblLook w:val="04A0"/>
      </w:tblPr>
      <w:tblGrid>
        <w:gridCol w:w="9576"/>
      </w:tblGrid>
      <w:tr w:rsidR="0005466F" w:rsidTr="0005466F">
        <w:tc>
          <w:tcPr>
            <w:tcW w:w="9576" w:type="dxa"/>
          </w:tcPr>
          <w:p w:rsidR="0005466F" w:rsidRDefault="0005466F" w:rsidP="0005466F">
            <w:pPr>
              <w:jc w:val="center"/>
            </w:pPr>
            <w:r w:rsidRPr="0005466F">
              <w:drawing>
                <wp:inline distT="0" distB="0" distL="0" distR="0">
                  <wp:extent cx="3173095" cy="2381693"/>
                  <wp:effectExtent l="19050" t="0" r="825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1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38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66F" w:rsidTr="0005466F">
        <w:tc>
          <w:tcPr>
            <w:tcW w:w="9576" w:type="dxa"/>
          </w:tcPr>
          <w:p w:rsidR="0005466F" w:rsidRPr="0005466F" w:rsidRDefault="0005466F" w:rsidP="0005466F">
            <w:pPr>
              <w:rPr>
                <w:rFonts w:ascii="Arial" w:hAnsi="Arial" w:cs="Arial"/>
                <w:sz w:val="24"/>
                <w:szCs w:val="24"/>
              </w:rPr>
            </w:pPr>
            <w:r w:rsidRPr="0005466F">
              <w:rPr>
                <w:rFonts w:ascii="Arial" w:hAnsi="Arial" w:cs="Arial"/>
                <w:sz w:val="24"/>
                <w:szCs w:val="24"/>
              </w:rPr>
              <w:t>The contribution of the target pharmaceutical compounds by the healthcare facilities (hospitals and long-term-care-homes) to the overall mass loading of wastewater treatment plants (WWTPs)</w:t>
            </w:r>
            <w:r>
              <w:rPr>
                <w:rFonts w:ascii="Arial" w:hAnsi="Arial" w:cs="Arial"/>
                <w:sz w:val="24"/>
                <w:szCs w:val="24"/>
              </w:rPr>
              <w:t xml:space="preserve"> was assessed</w:t>
            </w:r>
            <w:r w:rsidRPr="0005466F">
              <w:rPr>
                <w:rFonts w:ascii="Arial" w:hAnsi="Arial" w:cs="Arial"/>
                <w:sz w:val="24"/>
                <w:szCs w:val="24"/>
              </w:rPr>
              <w:t xml:space="preserve">. In this field study, four healthcare facility effluents and their downstream WWTP influents were monitored for concentration of target compounds and relative contributions by each target facility was investigated. </w:t>
            </w:r>
          </w:p>
          <w:p w:rsidR="0005466F" w:rsidRDefault="0005466F"/>
        </w:tc>
      </w:tr>
    </w:tbl>
    <w:p w:rsidR="0005466F" w:rsidRDefault="0005466F"/>
    <w:p w:rsidR="0005466F" w:rsidRDefault="0005466F"/>
    <w:p w:rsidR="0005466F" w:rsidRDefault="0005466F"/>
    <w:p w:rsidR="00F04676" w:rsidRDefault="00F04676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>
      <w:bookmarkStart w:id="0" w:name="_GoBack"/>
      <w:bookmarkEnd w:id="0"/>
    </w:p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580B5B" w:rsidRDefault="00580B5B"/>
    <w:p w:rsidR="009B1E43" w:rsidRDefault="009B1E43"/>
    <w:sectPr w:rsidR="009B1E43" w:rsidSect="004D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B1E43"/>
    <w:rsid w:val="0005466F"/>
    <w:rsid w:val="004D2931"/>
    <w:rsid w:val="00580B5B"/>
    <w:rsid w:val="009B1E43"/>
    <w:rsid w:val="00AE2EFD"/>
    <w:rsid w:val="00C76BFB"/>
    <w:rsid w:val="00DE61B1"/>
    <w:rsid w:val="00E914C3"/>
    <w:rsid w:val="00F0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Maauz</dc:creator>
  <cp:lastModifiedBy> </cp:lastModifiedBy>
  <cp:revision>3</cp:revision>
  <dcterms:created xsi:type="dcterms:W3CDTF">2011-09-26T23:47:00Z</dcterms:created>
  <dcterms:modified xsi:type="dcterms:W3CDTF">2011-09-26T23:48:00Z</dcterms:modified>
</cp:coreProperties>
</file>